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E9" w:rsidRDefault="00CB29E9" w:rsidP="00CB29E9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lang w:bidi="ar-TN"/>
        </w:rPr>
      </w:pPr>
    </w:p>
    <w:p w:rsidR="00CB29E9" w:rsidRDefault="00CB29E9" w:rsidP="00CB29E9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TN"/>
        </w:rPr>
      </w:pPr>
      <w:r w:rsidRPr="0016392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TN"/>
        </w:rPr>
        <w:t xml:space="preserve">القضاء و </w:t>
      </w:r>
      <w:proofErr w:type="gramStart"/>
      <w:r w:rsidRPr="0016392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TN"/>
        </w:rPr>
        <w:t>القدر  خادم</w:t>
      </w:r>
      <w:proofErr w:type="gramEnd"/>
      <w:r w:rsidRPr="0016392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TN"/>
        </w:rPr>
        <w:t xml:space="preserve"> لمبدأ التحرُّر النَّابع من عقيدة التوحيد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TN"/>
        </w:rPr>
        <w:t xml:space="preserve"> ( 2014 ) </w:t>
      </w:r>
    </w:p>
    <w:p w:rsidR="00CB29E9" w:rsidRPr="005A5FA7" w:rsidRDefault="00CB29E9" w:rsidP="00CB29E9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TN"/>
        </w:rPr>
      </w:pPr>
      <w:proofErr w:type="gramStart"/>
      <w:r w:rsidRPr="00847BF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TN"/>
        </w:rPr>
        <w:t>سؤال  المقال</w:t>
      </w:r>
      <w:proofErr w:type="gramEnd"/>
      <w:r w:rsidRPr="001213A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 xml:space="preserve">:  إلى أيِّ حدٍّ يمكن القول بأنَّ محاولات المسلمين فهم القدر كانت خادمة لمبدأ التحرُّر النّاَبع من عقيدة التوحيد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 xml:space="preserve">  </w:t>
      </w:r>
    </w:p>
    <w:p w:rsidR="00CB29E9" w:rsidRDefault="00CB29E9" w:rsidP="00CB29E9">
      <w:pPr>
        <w:bidi/>
        <w:rPr>
          <w:lang w:bidi="ar-T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559"/>
      </w:tblGrid>
      <w:tr w:rsidR="00CB29E9" w:rsidRPr="005A5FA7" w:rsidTr="00CB29E9">
        <w:tc>
          <w:tcPr>
            <w:tcW w:w="8472" w:type="dxa"/>
          </w:tcPr>
          <w:p w:rsidR="00CB29E9" w:rsidRPr="005A5FA7" w:rsidRDefault="00CB29E9" w:rsidP="00AB03F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ar-TN"/>
              </w:rPr>
            </w:pP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المؤشرات</w:t>
            </w:r>
            <w:proofErr w:type="gramEnd"/>
          </w:p>
        </w:tc>
        <w:tc>
          <w:tcPr>
            <w:tcW w:w="1559" w:type="dxa"/>
          </w:tcPr>
          <w:p w:rsidR="00CB29E9" w:rsidRPr="005A5FA7" w:rsidRDefault="00CB29E9" w:rsidP="00AB03F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المعايير</w:t>
            </w:r>
            <w:proofErr w:type="gramEnd"/>
          </w:p>
        </w:tc>
      </w:tr>
      <w:tr w:rsidR="00CB29E9" w:rsidRPr="005A5FA7" w:rsidTr="00CB29E9">
        <w:tc>
          <w:tcPr>
            <w:tcW w:w="8472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*توافق المنتج مع الموضوع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توفق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المترشح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 إلى بيان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تعدد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الفهوم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تنوعها في مقاربة المسلمين لمسألة القضاء و القدر .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دور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عقيدة التوحيد في تحرير الإنسان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تأكيد الترابط بين الفهم الواعي للقدر و مبدأ التحرر النابع من عقيدة التوحيد و تعليله.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*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حسن التصرف في السند فهما و استثمارا و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توظيفا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استثمار المعلومات و الأفكار الواردة في السند بما يساعد على معالجة الموضوع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معالجة تحليلية و نقدية من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خلال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بيان الفروق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الحقيقية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بين مختلف مواقف المسلمين من القضاء و القدر .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التمييز بين المظاهر الإيجابية و السلبية في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كيفيات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تعامل المسلمين مع مسألة القضاء و القدر .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–الإفصاح عن وجوه التناسب بين المظاهر الإيجابية في التعامل مع مسألة القضاء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القدر و تحرر الإنسان الموحد .</w:t>
            </w:r>
          </w:p>
        </w:tc>
        <w:tc>
          <w:tcPr>
            <w:tcW w:w="1559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التلاؤم مع الموضوع</w:t>
            </w:r>
          </w:p>
        </w:tc>
      </w:tr>
      <w:tr w:rsidR="00CB29E9" w:rsidRPr="005A5FA7" w:rsidTr="00CB29E9">
        <w:tc>
          <w:tcPr>
            <w:tcW w:w="8472" w:type="dxa"/>
          </w:tcPr>
          <w:p w:rsidR="00CB29E9" w:rsidRPr="005A5FA7" w:rsidRDefault="00CB29E9" w:rsidP="00CB29E9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r w:rsidRPr="00847B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سلامة </w:t>
            </w:r>
            <w:proofErr w:type="gramStart"/>
            <w:r w:rsidRPr="00847B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المضامين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جوهر عقيدة التوحيد و علاقتها بالتحرُّر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الإقرار لله بالوحدانية و نفي الشريك عنه في الخلق و التصرف و التدبير .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عقيدة التوحيد تخلص الإنسان من مظاهر الخوف و من الطبيعة و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الخرافة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..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تكسبه رؤية توحيدية للعالم و لموقع الإنسان فيه .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الخلافة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ذكر أبرز مقاربات علماء المسلمين لعقيدة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القدر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المواقف الممكن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عرضها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الجبر: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نفي قدرة الإنسان على الفعل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الجبرية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الاختيار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إثبات قدرة الإنسان على خلق أفعاله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المعتزلة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الكسب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الله تعالى خالق للفعل و الإنسان مكتسب له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الأشاعرة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السببية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تبني فهم سببي للظواهر و السنن الكونية و اعتبار مجال الفعل الإنساني مرتهنا بمدى وعيه منطق الترابط بين الأسباب و المسببات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مظاهر الانسجام مع مبدأ التحرر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،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تتجلى في المواقف التي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أعطت للإنسان اعتبارا من خلال نسبة الفعل إليه .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أزالت الغموض عن علاقة الإنسان بما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حوله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بنيت على دلالة الجمع بين الحرية و الضرورة .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خلصت عقله من قيود الجهل و الخوف و الآلهة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المصطنعة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...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–جعلته منخرطا في نظام كوني تتسق في كنفه كل الموجودات اتساقا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سببيا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يجعله قابلا للفهم و التعقل و الاستثمار .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الإبانة عن تمثل الإنسان قيمة التحرر و الكشف عن مظاهر دالة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عليه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تندرج جملة هذه المواقف ضمن مفهوم خلافة الإنسان لله في الأرض و تحمله مسؤولية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إعمارها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.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مظاهر التنافر مع مبدأ التحرر تتجلى في المواقف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التي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أثبتت للإنسان حرية مطلقة في خلق أفعاله .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–نفت عن الإنسان قدرته على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الفعل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لم تخرج عن دائرة التعارض الظاهري بين النص و العقل .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لم تعترف بمحدودية مقالتها و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نسبيتها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قامت على تخطئة المخالف .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تقرير النتائج الآتية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: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-تنوع مواقفى المسلمين و اختلافها من مسألة القضاء و القدر هو من ضروب ممارسة الحرية باعتبارها من مقاصد التوحيد .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تلبس الموضوع بالغيب لم يمنع المسلمين من التفكير في المسألة و محاولة فهمها .         البحث في هذه المسألة و امتدادها عبر التاريخ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،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دليل على تحمل المسلمين مسؤولية تجديد فهم منزلة الإنسان في الوجود .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*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التوافق بين المتخالفين في الرأي حاصل في الإيمان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،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اختلافهم ماثل في كيفية مقاربتهم للمسألة .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*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تمثل المصطلحات و المفاهيم المتصلة بالموضوع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التوحيد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القضاء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القدر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الحرية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التحرر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المسؤولية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الفاعلية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الاستخلاف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التعارض النصي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التعارض العقلي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دلالة الجمع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السببية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الجبر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الاختيار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الكسب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*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التحكم في اللغة المستخدمة رسما و تركيبا .</w:t>
            </w:r>
          </w:p>
        </w:tc>
        <w:tc>
          <w:tcPr>
            <w:tcW w:w="1559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5A5FA7" w:rsidRDefault="00CB29E9" w:rsidP="00CB29E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سلامة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المعلومات</w:t>
            </w:r>
          </w:p>
        </w:tc>
      </w:tr>
      <w:tr w:rsidR="00CB29E9" w:rsidRPr="005A5FA7" w:rsidTr="00CB29E9">
        <w:tc>
          <w:tcPr>
            <w:tcW w:w="8472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lastRenderedPageBreak/>
              <w:t xml:space="preserve">البرهنة على الأفكار و تدعيمها بشواهد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نقلية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عقلية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/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أمثلة من الواقع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.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1–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من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النقل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قوله تعالى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أن ليس للإنسان إلا ما سعى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النجم 39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قوله تعالى : ... لها ما كسبت و عليها ما اكتسبت ...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البقرة 286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قوله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تعالى :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...إن الله لا يغير ما بقوم حتى يغيروا م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 بأنفسهم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...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الرعد 11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قوله تعالى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إنا هديناه السبيل إما شاكرا و إما كفورا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الإنسان 3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قوله تعالى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يا أيها الإنسان إنك كادح إلى ربك كدحا فملاقيه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الانشقاق 6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2-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من العقل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:                                                                                             انتفاء التعارض العقلي بين توحيد الله سبحانه و الخضوع له من ناحية و بين إطلاق حرية الإنسان نحو الفعل و المبادرة من ناحية ثانية .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الاختلاف دليل على التفكير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،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الذي هو فعل إنساني تحرُّري .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3–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من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التاريخ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أمثلة من غزارة  المنتج الحضاري للمسلمين باعتباره  ثمرة من ثمار التحرر النابع من التوحيد .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ما يعيشه المسلمون اليوم من تفوق و خروج عن دائرة الفعل الحضاري من أسبابه ضعف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تمثلهم لمقتضيات التحرر و عجزهم عن إضافة المعنى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لمعتقدهم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</w:tcPr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البرهنة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والاستدلال</w:t>
            </w:r>
          </w:p>
        </w:tc>
      </w:tr>
      <w:tr w:rsidR="00CB29E9" w:rsidRPr="005A5FA7" w:rsidTr="00CB29E9">
        <w:tc>
          <w:tcPr>
            <w:tcW w:w="8472" w:type="dxa"/>
          </w:tcPr>
          <w:p w:rsidR="00CB29E9" w:rsidRPr="005A5FA7" w:rsidRDefault="00CB29E9" w:rsidP="00CB29E9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lastRenderedPageBreak/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حسن التدرج في عرض المضامين و تنظيمها و تناسق الأفكار و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ارتباطبعضها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ببعض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  أن يتضمن التحرير مقدمة و جوهرا و خاتمة .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</w:t>
            </w:r>
            <w:proofErr w:type="spellStart"/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>1-</w:t>
            </w:r>
            <w:proofErr w:type="spellEnd"/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 xml:space="preserve"> </w:t>
            </w:r>
            <w:proofErr w:type="gramStart"/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 xml:space="preserve">المقدمة </w:t>
            </w:r>
            <w:proofErr w:type="spellStart"/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تحديد الإطار العام الذي تتنزل فيه الإشكالية المطروحة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عناية المسلمين بالبحث في مسألة القضاء و القدر باعتبارها مكونا من مكونات العقيدة الإسلامية .                                                   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ظهور تصورات مختلفة راوحت بين إثبات حضور الإنسان في دائرة الفعل و الإقدام و بين ضموره في دائرة النكوص و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الإحجام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</w:t>
            </w:r>
            <w:r w:rsidRPr="00B71D5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لإشكالية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                             إلي أي مدى كانت محاولات المسلمين فهم مسألة القضاء و القدر استجابة لما في عقيدة التوحيد من تعبير عن أصالة حرية الإنسان و فاعليته في الكون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تفريع الإشكالية إلى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عناصر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ما وجه العلاقة بين عقيدة التوحيد و تحرير الإنسان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ما هي أبرز تجليات فهم المسلمين لعقيدة القدر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إلى أي حد يمكن القول باستجابة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تلك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المحاولات إلى مقصد التحرر الإنساني الذي تدعو إليه عقيدة التوحيد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 xml:space="preserve">2 </w:t>
            </w:r>
            <w:proofErr w:type="gramStart"/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>الجوهر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  التحليل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بيان أسس تحرر الإنسان من خلال عقيدة التوحيد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-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بسط مختصر لجوهر عقيدة التوحيد و بيان أوجه تحريرها للإنسان تصديقا و تمثلا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و سلوكا 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عرض نماذج من معالجات المسلمين لمسألة القضاء و القدر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.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يراعي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المترشح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مبدأ التنوع في النماذج المعروضة مع تجنب السرد التاريخي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)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النقد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تقويم مواقف المسلمين من القضاء و القدر في ضوء ما تدعو إليه عقيدة التوحيد من تحرر .                                                                                                 تبني موقف صريح من مدى توافق محاولات المسلمين لفهم القدر مع مبدأ التحرر النابع من عقيدة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التوحيد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تعليل الموقف من خلال وصله بمفهوم خلافة الإنسان لله في الأرض و تحمله مسؤولية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إعمارها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بما هي مسار تحرري للإنسان في التاريخ في إطار عقيدة التوحيد .                 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 w:rsidRPr="00B71D5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TN"/>
              </w:rPr>
              <w:t>-</w:t>
            </w:r>
            <w:proofErr w:type="spellEnd"/>
            <w:r w:rsidRPr="00B71D5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TN"/>
              </w:rPr>
              <w:t xml:space="preserve"> </w:t>
            </w:r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  <w:rtl/>
                <w:lang w:bidi="ar-TN"/>
              </w:rPr>
              <w:t>الخاتمة</w:t>
            </w:r>
            <w:r w:rsidRPr="00B71D53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     تحصيل أهم ما توصل إليه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المترشح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من أفكار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                                                             –تثمين جهود المسلمين في توسيع مباحث الغيب و وصل ذلك بجوهر عقيدة التوحيد .                      إمكانية فتح الموضوع على آفاق لم يقع التطرق إليها من قبيل :                                                         ثراء التجربة الفكرية للسابقين في محاولة فهم الغيب لا تعفي اللاحقين من ضرورة تحمل مسؤولية التعمق و تجديد البحث بمناهج ملائمة  لاحتياجات المسلمين في واقعهم الراهن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</w:tcPr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  <w:p w:rsidR="00CB29E9" w:rsidRPr="005A5FA7" w:rsidRDefault="00CB29E9" w:rsidP="00AB03F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وضوح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المنهج</w:t>
            </w:r>
          </w:p>
        </w:tc>
      </w:tr>
      <w:tr w:rsidR="00CB29E9" w:rsidRPr="005A5FA7" w:rsidTr="00CB29E9">
        <w:trPr>
          <w:trHeight w:val="2451"/>
        </w:trPr>
        <w:tc>
          <w:tcPr>
            <w:tcW w:w="8472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</w:pP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تقديم أفكار نوعية تعبر عن عمق فهم التلميذ للقضية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المطروحة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الربط بين واقع المسلمين أفرادا و شعوبا و مستوى فهمهم لعقيدة القضاء و </w:t>
            </w:r>
            <w:proofErr w:type="gram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القدر .</w:t>
            </w:r>
            <w:proofErr w:type="gram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التخلص من الفهم التجزيئي لمختلف المواقف الذي  أفضى إلى التفرقة و التولي عن  تجديد الفهم .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–</w:t>
            </w:r>
            <w:proofErr w:type="spellEnd"/>
            <w:r w:rsidRPr="005A5FA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 xml:space="preserve"> تبني فهم شمولي تاريخي لتجربة المسلمين في مجال معالجة قضايا الغيب من شأنه تأسيس مناخ للتحرر يسمو بالإنسان قدما نحو الله اعتقادا و امتثالا و كدحا .               </w:t>
            </w:r>
          </w:p>
        </w:tc>
        <w:tc>
          <w:tcPr>
            <w:tcW w:w="1559" w:type="dxa"/>
          </w:tcPr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</w:pPr>
          </w:p>
          <w:p w:rsidR="00CB29E9" w:rsidRPr="00FD428C" w:rsidRDefault="00CB29E9" w:rsidP="00AB03F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 w:rsidRPr="00FD42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TN"/>
              </w:rPr>
              <w:t>طرافة الأفكار</w:t>
            </w:r>
          </w:p>
          <w:p w:rsidR="00CB29E9" w:rsidRPr="005A5FA7" w:rsidRDefault="00CB29E9" w:rsidP="00AB03F4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CB29E9" w:rsidRDefault="00CB29E9" w:rsidP="00CB29E9">
      <w:pPr>
        <w:bidi/>
        <w:rPr>
          <w:lang w:bidi="ar-TN"/>
        </w:rPr>
      </w:pPr>
    </w:p>
    <w:p w:rsidR="00CB29E9" w:rsidRDefault="00CB29E9" w:rsidP="00CB29E9">
      <w:pPr>
        <w:bidi/>
        <w:rPr>
          <w:lang w:bidi="ar-TN"/>
        </w:rPr>
      </w:pPr>
    </w:p>
    <w:p w:rsidR="00CB29E9" w:rsidRPr="00CB29E9" w:rsidRDefault="00CB29E9" w:rsidP="00CB29E9">
      <w:pPr>
        <w:bidi/>
        <w:rPr>
          <w:lang w:bidi="ar-TN"/>
        </w:rPr>
      </w:pPr>
    </w:p>
    <w:sectPr w:rsidR="00CB29E9" w:rsidRPr="00CB29E9" w:rsidSect="00DD2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0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83" w:rsidRDefault="00964F83" w:rsidP="00CB29E9">
      <w:pPr>
        <w:spacing w:after="0" w:line="240" w:lineRule="auto"/>
      </w:pPr>
      <w:r>
        <w:separator/>
      </w:r>
    </w:p>
  </w:endnote>
  <w:endnote w:type="continuationSeparator" w:id="0">
    <w:p w:rsidR="00964F83" w:rsidRDefault="00964F83" w:rsidP="00CB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C" w:rsidRDefault="00676C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922"/>
      <w:docPartObj>
        <w:docPartGallery w:val="Page Numbers (Bottom of Page)"/>
        <w:docPartUnique/>
      </w:docPartObj>
    </w:sdtPr>
    <w:sdtContent>
      <w:p w:rsidR="00676C6C" w:rsidRDefault="00676C6C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6C6C" w:rsidRDefault="00676C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C" w:rsidRDefault="00676C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83" w:rsidRDefault="00964F83" w:rsidP="00CB29E9">
      <w:pPr>
        <w:spacing w:after="0" w:line="240" w:lineRule="auto"/>
      </w:pPr>
      <w:r>
        <w:separator/>
      </w:r>
    </w:p>
  </w:footnote>
  <w:footnote w:type="continuationSeparator" w:id="0">
    <w:p w:rsidR="00964F83" w:rsidRDefault="00964F83" w:rsidP="00CB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C" w:rsidRDefault="00676C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9" w:rsidRPr="00DD2E04" w:rsidRDefault="00DD2E04" w:rsidP="00DD2E04">
    <w:pPr>
      <w:pStyle w:val="En-tte"/>
      <w:bidi/>
      <w:rPr>
        <w:rFonts w:asciiTheme="majorBidi" w:hAnsiTheme="majorBidi" w:cstheme="majorBidi"/>
        <w:b/>
        <w:bCs/>
        <w:sz w:val="28"/>
        <w:szCs w:val="28"/>
        <w:rtl/>
        <w:lang w:bidi="ar-TN"/>
      </w:rPr>
    </w:pPr>
    <w:r w:rsidRPr="00DD2E0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مقال مرفق بالإصلاح في الحرية و القدر</w:t>
    </w:r>
    <w:r w:rsidRPr="00DD2E04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                          </w:t>
    </w:r>
    <w:r w:rsidRPr="00DD2E0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 مع تحيات </w:t>
    </w:r>
    <w:proofErr w:type="spellStart"/>
    <w:r w:rsidRPr="00DD2E0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الأستاذ:</w:t>
    </w:r>
    <w:proofErr w:type="spellEnd"/>
    <w:r w:rsidRPr="00DD2E0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لطفي التلاتلي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C" w:rsidRDefault="00676C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3D3"/>
    <w:rsid w:val="00394AB5"/>
    <w:rsid w:val="004466CC"/>
    <w:rsid w:val="00585151"/>
    <w:rsid w:val="00676C6C"/>
    <w:rsid w:val="00964F83"/>
    <w:rsid w:val="00CB29E9"/>
    <w:rsid w:val="00D74D60"/>
    <w:rsid w:val="00DD2E04"/>
    <w:rsid w:val="00E0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D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B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9E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CB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9E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2</cp:revision>
  <dcterms:created xsi:type="dcterms:W3CDTF">2020-02-16T10:24:00Z</dcterms:created>
  <dcterms:modified xsi:type="dcterms:W3CDTF">2020-02-16T21:16:00Z</dcterms:modified>
</cp:coreProperties>
</file>